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2340" w:rsidRPr="007B11BC" w:rsidRDefault="009C2340" w:rsidP="003E0B63">
      <w:pPr>
        <w:pStyle w:val="NormalWeb"/>
        <w:jc w:val="both"/>
        <w:rPr>
          <w:rFonts w:asciiTheme="minorHAnsi" w:hAnsiTheme="minorHAnsi" w:cstheme="minorHAnsi"/>
        </w:rPr>
      </w:pPr>
      <w:r w:rsidRPr="007B11BC">
        <w:rPr>
          <w:rFonts w:asciiTheme="minorHAnsi" w:hAnsiTheme="minorHAnsi" w:cstheme="minorHAnsi"/>
        </w:rPr>
        <w:t>We appreciate the opportunity to provide comments on the Exposure Draft (ED)</w:t>
      </w:r>
      <w:r w:rsidR="00E14BD7" w:rsidRPr="007B11BC">
        <w:rPr>
          <w:rFonts w:asciiTheme="minorHAnsi" w:hAnsiTheme="minorHAnsi" w:cstheme="minorHAnsi"/>
        </w:rPr>
        <w:t xml:space="preserve"> issued in November 2025</w:t>
      </w:r>
      <w:r w:rsidRPr="007B11BC">
        <w:rPr>
          <w:rFonts w:asciiTheme="minorHAnsi" w:hAnsiTheme="minorHAnsi" w:cstheme="minorHAnsi"/>
        </w:rPr>
        <w:t xml:space="preserve"> regarding the proposed amendments to </w:t>
      </w:r>
      <w:proofErr w:type="spellStart"/>
      <w:r w:rsidRPr="007B11BC">
        <w:rPr>
          <w:rFonts w:asciiTheme="minorHAnsi" w:hAnsiTheme="minorHAnsi" w:cstheme="minorHAnsi"/>
        </w:rPr>
        <w:t>Ind</w:t>
      </w:r>
      <w:proofErr w:type="spellEnd"/>
      <w:r w:rsidRPr="007B11BC">
        <w:rPr>
          <w:rFonts w:asciiTheme="minorHAnsi" w:hAnsiTheme="minorHAnsi" w:cstheme="minorHAnsi"/>
        </w:rPr>
        <w:t xml:space="preserve"> AS 21, </w:t>
      </w:r>
      <w:r w:rsidRPr="007B11BC">
        <w:rPr>
          <w:rStyle w:val="Emphasis"/>
          <w:rFonts w:asciiTheme="minorHAnsi" w:hAnsiTheme="minorHAnsi" w:cstheme="minorHAnsi"/>
        </w:rPr>
        <w:t>The Effects of Changes in Foreign Exchange Rates</w:t>
      </w:r>
      <w:r w:rsidR="00E14BD7" w:rsidRPr="007B11BC">
        <w:rPr>
          <w:rFonts w:asciiTheme="minorHAnsi" w:hAnsiTheme="minorHAnsi" w:cstheme="minorHAnsi"/>
        </w:rPr>
        <w:t xml:space="preserve"> explicitly</w:t>
      </w:r>
      <w:r w:rsidRPr="007B11BC">
        <w:rPr>
          <w:rFonts w:asciiTheme="minorHAnsi" w:hAnsiTheme="minorHAnsi" w:cstheme="minorHAnsi"/>
        </w:rPr>
        <w:t xml:space="preserve"> addressing translation to a hyperinflationary presentation currency. These amendments, which align with the I</w:t>
      </w:r>
      <w:r w:rsidR="003E0B63" w:rsidRPr="007B11BC">
        <w:rPr>
          <w:rFonts w:asciiTheme="minorHAnsi" w:hAnsiTheme="minorHAnsi" w:cstheme="minorHAnsi"/>
        </w:rPr>
        <w:t xml:space="preserve">nternational </w:t>
      </w:r>
      <w:r w:rsidRPr="007B11BC">
        <w:rPr>
          <w:rFonts w:asciiTheme="minorHAnsi" w:hAnsiTheme="minorHAnsi" w:cstheme="minorHAnsi"/>
        </w:rPr>
        <w:t>A</w:t>
      </w:r>
      <w:r w:rsidR="003E0B63" w:rsidRPr="007B11BC">
        <w:rPr>
          <w:rFonts w:asciiTheme="minorHAnsi" w:hAnsiTheme="minorHAnsi" w:cstheme="minorHAnsi"/>
        </w:rPr>
        <w:t xml:space="preserve">ccounting </w:t>
      </w:r>
      <w:r w:rsidRPr="007B11BC">
        <w:rPr>
          <w:rFonts w:asciiTheme="minorHAnsi" w:hAnsiTheme="minorHAnsi" w:cstheme="minorHAnsi"/>
        </w:rPr>
        <w:t>S</w:t>
      </w:r>
      <w:r w:rsidR="003E0B63" w:rsidRPr="007B11BC">
        <w:rPr>
          <w:rFonts w:asciiTheme="minorHAnsi" w:hAnsiTheme="minorHAnsi" w:cstheme="minorHAnsi"/>
        </w:rPr>
        <w:t xml:space="preserve">tandard </w:t>
      </w:r>
      <w:r w:rsidRPr="007B11BC">
        <w:rPr>
          <w:rFonts w:asciiTheme="minorHAnsi" w:hAnsiTheme="minorHAnsi" w:cstheme="minorHAnsi"/>
        </w:rPr>
        <w:t>B</w:t>
      </w:r>
      <w:r w:rsidR="003E0B63" w:rsidRPr="007B11BC">
        <w:rPr>
          <w:rFonts w:asciiTheme="minorHAnsi" w:hAnsiTheme="minorHAnsi" w:cstheme="minorHAnsi"/>
        </w:rPr>
        <w:t>oard</w:t>
      </w:r>
      <w:r w:rsidRPr="007B11BC">
        <w:rPr>
          <w:rFonts w:asciiTheme="minorHAnsi" w:hAnsiTheme="minorHAnsi" w:cstheme="minorHAnsi"/>
        </w:rPr>
        <w:t>’s corresponding changes to IAS 21, represent an important step in maintaining convergence with IFRS Standards and enhancing clarity in financial reporting.</w:t>
      </w:r>
    </w:p>
    <w:p w:rsidR="009C2340" w:rsidRPr="009C2340" w:rsidRDefault="004261B3" w:rsidP="004261B3">
      <w:pPr>
        <w:spacing w:before="100" w:beforeAutospacing="1" w:after="100" w:afterAutospacing="1" w:line="240" w:lineRule="auto"/>
        <w:jc w:val="both"/>
        <w:rPr>
          <w:rFonts w:eastAsia="Times New Roman" w:cstheme="minorHAnsi"/>
          <w:sz w:val="24"/>
          <w:szCs w:val="24"/>
          <w:lang w:eastAsia="en-IN"/>
        </w:rPr>
      </w:pPr>
      <w:r w:rsidRPr="007B11BC">
        <w:rPr>
          <w:rFonts w:eastAsia="Times New Roman" w:cstheme="minorHAnsi"/>
          <w:sz w:val="24"/>
          <w:szCs w:val="24"/>
          <w:lang w:eastAsia="en-IN"/>
        </w:rPr>
        <w:t xml:space="preserve">We </w:t>
      </w:r>
      <w:r w:rsidR="009C2340" w:rsidRPr="009C2340">
        <w:rPr>
          <w:rFonts w:eastAsia="Times New Roman" w:cstheme="minorHAnsi"/>
          <w:sz w:val="24"/>
          <w:szCs w:val="24"/>
          <w:lang w:eastAsia="en-IN"/>
        </w:rPr>
        <w:t xml:space="preserve">support the ASB’s initiative to align </w:t>
      </w:r>
      <w:proofErr w:type="spellStart"/>
      <w:r w:rsidR="009C2340" w:rsidRPr="009C2340">
        <w:rPr>
          <w:rFonts w:eastAsia="Times New Roman" w:cstheme="minorHAnsi"/>
          <w:sz w:val="24"/>
          <w:szCs w:val="24"/>
          <w:lang w:eastAsia="en-IN"/>
        </w:rPr>
        <w:t>Ind</w:t>
      </w:r>
      <w:proofErr w:type="spellEnd"/>
      <w:r w:rsidR="009C2340" w:rsidRPr="009C2340">
        <w:rPr>
          <w:rFonts w:eastAsia="Times New Roman" w:cstheme="minorHAnsi"/>
          <w:sz w:val="24"/>
          <w:szCs w:val="24"/>
          <w:lang w:eastAsia="en-IN"/>
        </w:rPr>
        <w:t xml:space="preserve"> AS 21 with </w:t>
      </w:r>
      <w:r w:rsidRPr="007B11BC">
        <w:rPr>
          <w:rFonts w:eastAsia="Times New Roman" w:cstheme="minorHAnsi"/>
          <w:sz w:val="24"/>
          <w:szCs w:val="24"/>
          <w:lang w:eastAsia="en-IN"/>
        </w:rPr>
        <w:t xml:space="preserve">the IASB’s amendments to IAS 21 </w:t>
      </w:r>
      <w:r w:rsidRPr="007B11BC">
        <w:rPr>
          <w:rFonts w:cstheme="minorHAnsi"/>
          <w:sz w:val="24"/>
          <w:szCs w:val="24"/>
        </w:rPr>
        <w:t>which aim to provide clarity and consistency in financial reporting when entities present their financial statements in a hyperinflationary currency.</w:t>
      </w:r>
      <w:r w:rsidR="00716B78" w:rsidRPr="007B11BC">
        <w:rPr>
          <w:rFonts w:cstheme="minorHAnsi"/>
          <w:sz w:val="24"/>
          <w:szCs w:val="24"/>
        </w:rPr>
        <w:t xml:space="preserve"> Utilis</w:t>
      </w:r>
      <w:r w:rsidR="00716B78" w:rsidRPr="007B11BC">
        <w:rPr>
          <w:rFonts w:cstheme="minorHAnsi"/>
          <w:sz w:val="24"/>
          <w:szCs w:val="24"/>
        </w:rPr>
        <w:t>ing the closing rate for all amount translations (Paragraph 41A) effectively boosts comparability while simplifying the process for stakeholders. Furthermore, the decision to apply these changes prospectively when a currency stabilizes (Paragraph 41B) is a practical move that prevents the burden of restating previous periods."</w:t>
      </w:r>
    </w:p>
    <w:p w:rsidR="009C2340" w:rsidRPr="007B11BC" w:rsidRDefault="000A1AEF" w:rsidP="003E0B63">
      <w:pPr>
        <w:pStyle w:val="Heading2"/>
        <w:numPr>
          <w:ilvl w:val="1"/>
          <w:numId w:val="7"/>
        </w:numPr>
        <w:ind w:left="426"/>
        <w:jc w:val="both"/>
        <w:rPr>
          <w:rFonts w:asciiTheme="minorHAnsi" w:hAnsiTheme="minorHAnsi" w:cstheme="minorHAnsi"/>
          <w:sz w:val="24"/>
          <w:szCs w:val="24"/>
        </w:rPr>
      </w:pPr>
      <w:r w:rsidRPr="007B11BC">
        <w:rPr>
          <w:rFonts w:asciiTheme="minorHAnsi" w:hAnsiTheme="minorHAnsi" w:cstheme="minorHAnsi"/>
          <w:sz w:val="24"/>
          <w:szCs w:val="24"/>
        </w:rPr>
        <w:t>Specific Comments</w:t>
      </w:r>
    </w:p>
    <w:p w:rsidR="00C64D67" w:rsidRPr="007B11BC" w:rsidRDefault="009C2340" w:rsidP="000A1AEF">
      <w:pPr>
        <w:pStyle w:val="NormalWeb"/>
        <w:numPr>
          <w:ilvl w:val="0"/>
          <w:numId w:val="2"/>
        </w:numPr>
        <w:jc w:val="both"/>
        <w:rPr>
          <w:rFonts w:asciiTheme="minorHAnsi" w:hAnsiTheme="minorHAnsi" w:cstheme="minorHAnsi"/>
        </w:rPr>
      </w:pPr>
      <w:r w:rsidRPr="007B11BC">
        <w:rPr>
          <w:rStyle w:val="Strong"/>
          <w:rFonts w:asciiTheme="minorHAnsi" w:hAnsiTheme="minorHAnsi" w:cstheme="minorHAnsi"/>
        </w:rPr>
        <w:t>Paragraph 39</w:t>
      </w:r>
      <w:r w:rsidRPr="007B11BC">
        <w:rPr>
          <w:rFonts w:asciiTheme="minorHAnsi" w:hAnsiTheme="minorHAnsi" w:cstheme="minorHAnsi"/>
        </w:rPr>
        <w:t>: Clarify that average exchange rates may still be used for income and expenses whe</w:t>
      </w:r>
      <w:r w:rsidR="003E0B63" w:rsidRPr="007B11BC">
        <w:rPr>
          <w:rFonts w:asciiTheme="minorHAnsi" w:hAnsiTheme="minorHAnsi" w:cstheme="minorHAnsi"/>
        </w:rPr>
        <w:t>n they approximate actual rates</w:t>
      </w:r>
      <w:r w:rsidRPr="007B11BC">
        <w:rPr>
          <w:rFonts w:asciiTheme="minorHAnsi" w:hAnsiTheme="minorHAnsi" w:cstheme="minorHAnsi"/>
        </w:rPr>
        <w:t xml:space="preserve"> consistent with current practice.</w:t>
      </w:r>
    </w:p>
    <w:p w:rsidR="003E0B63" w:rsidRPr="007B11BC" w:rsidRDefault="009C2340" w:rsidP="003E0B63">
      <w:pPr>
        <w:pStyle w:val="NormalWeb"/>
        <w:numPr>
          <w:ilvl w:val="0"/>
          <w:numId w:val="2"/>
        </w:numPr>
        <w:jc w:val="both"/>
        <w:rPr>
          <w:rFonts w:asciiTheme="minorHAnsi" w:hAnsiTheme="minorHAnsi" w:cstheme="minorHAnsi"/>
        </w:rPr>
      </w:pPr>
      <w:r w:rsidRPr="007B11BC">
        <w:rPr>
          <w:rStyle w:val="Strong"/>
          <w:rFonts w:asciiTheme="minorHAnsi" w:hAnsiTheme="minorHAnsi" w:cstheme="minorHAnsi"/>
        </w:rPr>
        <w:t>Paragraph 41A</w:t>
      </w:r>
      <w:r w:rsidRPr="007B11BC">
        <w:rPr>
          <w:rFonts w:asciiTheme="minorHAnsi" w:hAnsiTheme="minorHAnsi" w:cstheme="minorHAnsi"/>
        </w:rPr>
        <w:t>:</w:t>
      </w:r>
    </w:p>
    <w:p w:rsidR="009C2340" w:rsidRPr="007B11BC" w:rsidRDefault="009C2340" w:rsidP="003E0B63">
      <w:pPr>
        <w:pStyle w:val="NormalWeb"/>
        <w:numPr>
          <w:ilvl w:val="1"/>
          <w:numId w:val="2"/>
        </w:numPr>
        <w:tabs>
          <w:tab w:val="clear" w:pos="1440"/>
        </w:tabs>
        <w:ind w:left="993" w:hanging="284"/>
        <w:jc w:val="both"/>
        <w:rPr>
          <w:rFonts w:asciiTheme="minorHAnsi" w:hAnsiTheme="minorHAnsi" w:cstheme="minorHAnsi"/>
        </w:rPr>
      </w:pPr>
      <w:r w:rsidRPr="007B11BC">
        <w:rPr>
          <w:rFonts w:asciiTheme="minorHAnsi" w:hAnsiTheme="minorHAnsi" w:cstheme="minorHAnsi"/>
        </w:rPr>
        <w:t>We agree that all amounts (including comparatives) should be translated at the closing rate of the most recent balance sheet.</w:t>
      </w:r>
    </w:p>
    <w:p w:rsidR="009C2340" w:rsidRPr="007B11BC" w:rsidRDefault="009C2340" w:rsidP="00C64D67">
      <w:pPr>
        <w:pStyle w:val="NormalWeb"/>
        <w:numPr>
          <w:ilvl w:val="1"/>
          <w:numId w:val="2"/>
        </w:numPr>
        <w:tabs>
          <w:tab w:val="clear" w:pos="1440"/>
        </w:tabs>
        <w:ind w:left="993" w:hanging="284"/>
        <w:jc w:val="both"/>
        <w:rPr>
          <w:rFonts w:asciiTheme="minorHAnsi" w:hAnsiTheme="minorHAnsi" w:cstheme="minorHAnsi"/>
        </w:rPr>
      </w:pPr>
      <w:r w:rsidRPr="007B11BC">
        <w:rPr>
          <w:rFonts w:asciiTheme="minorHAnsi" w:hAnsiTheme="minorHAnsi" w:cstheme="minorHAnsi"/>
        </w:rPr>
        <w:t>Explicitly confirm that “all amounts” includes cash flows and other comprehensive income items.</w:t>
      </w:r>
    </w:p>
    <w:p w:rsidR="00C64D67" w:rsidRPr="007B11BC" w:rsidRDefault="009C2340" w:rsidP="000A1AEF">
      <w:pPr>
        <w:pStyle w:val="NormalWeb"/>
        <w:numPr>
          <w:ilvl w:val="1"/>
          <w:numId w:val="2"/>
        </w:numPr>
        <w:tabs>
          <w:tab w:val="clear" w:pos="1440"/>
        </w:tabs>
        <w:ind w:left="993" w:hanging="284"/>
        <w:jc w:val="both"/>
        <w:rPr>
          <w:rFonts w:asciiTheme="minorHAnsi" w:hAnsiTheme="minorHAnsi" w:cstheme="minorHAnsi"/>
        </w:rPr>
      </w:pPr>
      <w:r w:rsidRPr="007B11BC">
        <w:rPr>
          <w:rFonts w:asciiTheme="minorHAnsi" w:hAnsiTheme="minorHAnsi" w:cstheme="minorHAnsi"/>
        </w:rPr>
        <w:t>Provide guidance on the source of the closing rate, especially in economies with multiple exchange rates or exchange controls</w:t>
      </w:r>
      <w:r w:rsidR="000A1AEF" w:rsidRPr="007B11BC">
        <w:rPr>
          <w:rFonts w:asciiTheme="minorHAnsi" w:hAnsiTheme="minorHAnsi" w:cstheme="minorHAnsi"/>
        </w:rPr>
        <w:t>.</w:t>
      </w:r>
    </w:p>
    <w:p w:rsidR="009C2340" w:rsidRPr="007B11BC" w:rsidRDefault="009C2340" w:rsidP="003E0B63">
      <w:pPr>
        <w:pStyle w:val="NormalWeb"/>
        <w:numPr>
          <w:ilvl w:val="0"/>
          <w:numId w:val="2"/>
        </w:numPr>
        <w:jc w:val="both"/>
        <w:rPr>
          <w:rFonts w:asciiTheme="minorHAnsi" w:hAnsiTheme="minorHAnsi" w:cstheme="minorHAnsi"/>
        </w:rPr>
      </w:pPr>
      <w:r w:rsidRPr="007B11BC">
        <w:rPr>
          <w:rStyle w:val="Strong"/>
          <w:rFonts w:asciiTheme="minorHAnsi" w:hAnsiTheme="minorHAnsi" w:cstheme="minorHAnsi"/>
        </w:rPr>
        <w:t>Paragraph 41B</w:t>
      </w:r>
      <w:r w:rsidRPr="007B11BC">
        <w:rPr>
          <w:rFonts w:asciiTheme="minorHAnsi" w:hAnsiTheme="minorHAnsi" w:cstheme="minorHAnsi"/>
        </w:rPr>
        <w:t>:</w:t>
      </w:r>
    </w:p>
    <w:p w:rsidR="009C2340" w:rsidRPr="007B11BC" w:rsidRDefault="009C2340" w:rsidP="00C64D67">
      <w:pPr>
        <w:pStyle w:val="NormalWeb"/>
        <w:numPr>
          <w:ilvl w:val="1"/>
          <w:numId w:val="2"/>
        </w:numPr>
        <w:tabs>
          <w:tab w:val="clear" w:pos="1440"/>
        </w:tabs>
        <w:ind w:left="993" w:hanging="284"/>
        <w:jc w:val="both"/>
        <w:rPr>
          <w:rFonts w:asciiTheme="minorHAnsi" w:hAnsiTheme="minorHAnsi" w:cstheme="minorHAnsi"/>
        </w:rPr>
      </w:pPr>
      <w:r w:rsidRPr="007B11BC">
        <w:rPr>
          <w:rFonts w:asciiTheme="minorHAnsi" w:hAnsiTheme="minorHAnsi" w:cstheme="minorHAnsi"/>
        </w:rPr>
        <w:t>The requirement to apply standard procedures prospectively once an economy ceases to be hyperinflationary is pragmatic and avoids the burden of restating historical figures.</w:t>
      </w:r>
    </w:p>
    <w:p w:rsidR="009C2340" w:rsidRPr="007B11BC" w:rsidRDefault="009C2340" w:rsidP="00C64D67">
      <w:pPr>
        <w:pStyle w:val="NormalWeb"/>
        <w:numPr>
          <w:ilvl w:val="1"/>
          <w:numId w:val="2"/>
        </w:numPr>
        <w:tabs>
          <w:tab w:val="clear" w:pos="1440"/>
        </w:tabs>
        <w:ind w:left="993" w:hanging="284"/>
        <w:jc w:val="both"/>
        <w:rPr>
          <w:rFonts w:asciiTheme="minorHAnsi" w:hAnsiTheme="minorHAnsi" w:cstheme="minorHAnsi"/>
        </w:rPr>
      </w:pPr>
      <w:r w:rsidRPr="007B11BC">
        <w:rPr>
          <w:rFonts w:asciiTheme="minorHAnsi" w:hAnsiTheme="minorHAnsi" w:cstheme="minorHAnsi"/>
        </w:rPr>
        <w:t>Disclosure should be required of the date and basis for concluding that the economy has ceased to be hyperinflationary.</w:t>
      </w:r>
    </w:p>
    <w:p w:rsidR="009C2340" w:rsidRPr="007B11BC" w:rsidRDefault="009C2340" w:rsidP="00C64D67">
      <w:pPr>
        <w:pStyle w:val="NormalWeb"/>
        <w:numPr>
          <w:ilvl w:val="1"/>
          <w:numId w:val="2"/>
        </w:numPr>
        <w:tabs>
          <w:tab w:val="clear" w:pos="1440"/>
        </w:tabs>
        <w:ind w:left="993" w:hanging="284"/>
        <w:jc w:val="both"/>
        <w:rPr>
          <w:rFonts w:asciiTheme="minorHAnsi" w:hAnsiTheme="minorHAnsi" w:cstheme="minorHAnsi"/>
        </w:rPr>
      </w:pPr>
      <w:r w:rsidRPr="007B11BC">
        <w:rPr>
          <w:rFonts w:asciiTheme="minorHAnsi" w:hAnsiTheme="minorHAnsi" w:cstheme="minorHAnsi"/>
        </w:rPr>
        <w:t>A reconciliation or narrative explaining the impact of the change on equity and other comprehensive income would enhance transparency.</w:t>
      </w:r>
    </w:p>
    <w:p w:rsidR="00C64D67" w:rsidRPr="007B11BC" w:rsidRDefault="009C2340" w:rsidP="000A1AEF">
      <w:pPr>
        <w:pStyle w:val="NormalWeb"/>
        <w:numPr>
          <w:ilvl w:val="0"/>
          <w:numId w:val="3"/>
        </w:numPr>
        <w:jc w:val="both"/>
        <w:rPr>
          <w:rFonts w:asciiTheme="minorHAnsi" w:hAnsiTheme="minorHAnsi" w:cstheme="minorHAnsi"/>
        </w:rPr>
      </w:pPr>
      <w:r w:rsidRPr="007B11BC">
        <w:rPr>
          <w:rStyle w:val="Strong"/>
          <w:rFonts w:asciiTheme="minorHAnsi" w:hAnsiTheme="minorHAnsi" w:cstheme="minorHAnsi"/>
        </w:rPr>
        <w:t>Paragraph 42</w:t>
      </w:r>
      <w:r w:rsidRPr="007B11BC">
        <w:rPr>
          <w:rFonts w:asciiTheme="minorHAnsi" w:hAnsiTheme="minorHAnsi" w:cstheme="minorHAnsi"/>
        </w:rPr>
        <w:t>: Clarify treatment of comparative amounts when translating into a non-hyperinflationary currency to avoid misinterpretation.</w:t>
      </w:r>
    </w:p>
    <w:p w:rsidR="009C2340" w:rsidRPr="007B11BC" w:rsidRDefault="009C2340" w:rsidP="003E0B63">
      <w:pPr>
        <w:pStyle w:val="NormalWeb"/>
        <w:numPr>
          <w:ilvl w:val="0"/>
          <w:numId w:val="3"/>
        </w:numPr>
        <w:jc w:val="both"/>
        <w:rPr>
          <w:rFonts w:asciiTheme="minorHAnsi" w:hAnsiTheme="minorHAnsi" w:cstheme="minorHAnsi"/>
        </w:rPr>
      </w:pPr>
      <w:r w:rsidRPr="007B11BC">
        <w:rPr>
          <w:rStyle w:val="Strong"/>
          <w:rFonts w:asciiTheme="minorHAnsi" w:hAnsiTheme="minorHAnsi" w:cstheme="minorHAnsi"/>
        </w:rPr>
        <w:t>Paragraph 47A</w:t>
      </w:r>
      <w:r w:rsidRPr="007B11BC">
        <w:rPr>
          <w:rFonts w:asciiTheme="minorHAnsi" w:hAnsiTheme="minorHAnsi" w:cstheme="minorHAnsi"/>
        </w:rPr>
        <w:t>:</w:t>
      </w:r>
    </w:p>
    <w:p w:rsidR="009C2340" w:rsidRPr="007B11BC" w:rsidRDefault="009C2340" w:rsidP="00C64D67">
      <w:pPr>
        <w:pStyle w:val="NormalWeb"/>
        <w:numPr>
          <w:ilvl w:val="1"/>
          <w:numId w:val="3"/>
        </w:numPr>
        <w:tabs>
          <w:tab w:val="clear" w:pos="1440"/>
        </w:tabs>
        <w:ind w:left="851"/>
        <w:jc w:val="both"/>
        <w:rPr>
          <w:rFonts w:asciiTheme="minorHAnsi" w:hAnsiTheme="minorHAnsi" w:cstheme="minorHAnsi"/>
        </w:rPr>
      </w:pPr>
      <w:r w:rsidRPr="007B11BC">
        <w:rPr>
          <w:rFonts w:asciiTheme="minorHAnsi" w:hAnsiTheme="minorHAnsi" w:cstheme="minorHAnsi"/>
        </w:rPr>
        <w:t xml:space="preserve">We support the specific exception requiring the use of the general price index (per </w:t>
      </w:r>
      <w:proofErr w:type="spellStart"/>
      <w:r w:rsidRPr="007B11BC">
        <w:rPr>
          <w:rFonts w:asciiTheme="minorHAnsi" w:hAnsiTheme="minorHAnsi" w:cstheme="minorHAnsi"/>
        </w:rPr>
        <w:t>Ind</w:t>
      </w:r>
      <w:proofErr w:type="spellEnd"/>
      <w:r w:rsidRPr="007B11BC">
        <w:rPr>
          <w:rFonts w:asciiTheme="minorHAnsi" w:hAnsiTheme="minorHAnsi" w:cstheme="minorHAnsi"/>
        </w:rPr>
        <w:t xml:space="preserve"> AS 29) for restating comparatives of non-hyperinflationary foreign operations, as this preserves the economic reality of the reporting entity’s hyperinflationary environment.</w:t>
      </w:r>
    </w:p>
    <w:p w:rsidR="009C2340" w:rsidRPr="007B11BC" w:rsidRDefault="009C2340" w:rsidP="00C64D67">
      <w:pPr>
        <w:pStyle w:val="NormalWeb"/>
        <w:numPr>
          <w:ilvl w:val="1"/>
          <w:numId w:val="3"/>
        </w:numPr>
        <w:tabs>
          <w:tab w:val="clear" w:pos="1440"/>
        </w:tabs>
        <w:ind w:left="851"/>
        <w:jc w:val="both"/>
        <w:rPr>
          <w:rFonts w:asciiTheme="minorHAnsi" w:hAnsiTheme="minorHAnsi" w:cstheme="minorHAnsi"/>
        </w:rPr>
      </w:pPr>
      <w:r w:rsidRPr="007B11BC">
        <w:rPr>
          <w:rFonts w:asciiTheme="minorHAnsi" w:hAnsiTheme="minorHAnsi" w:cstheme="minorHAnsi"/>
        </w:rPr>
        <w:t>Recommend including illustrative examples showing how comparative amounts of foreign operations are restated using a general price index and then translated.</w:t>
      </w:r>
    </w:p>
    <w:p w:rsidR="009C2340" w:rsidRPr="007B11BC" w:rsidRDefault="009C2340" w:rsidP="00C64D67">
      <w:pPr>
        <w:pStyle w:val="NormalWeb"/>
        <w:numPr>
          <w:ilvl w:val="1"/>
          <w:numId w:val="3"/>
        </w:numPr>
        <w:tabs>
          <w:tab w:val="clear" w:pos="1440"/>
        </w:tabs>
        <w:ind w:left="851"/>
        <w:jc w:val="both"/>
        <w:rPr>
          <w:rFonts w:asciiTheme="minorHAnsi" w:hAnsiTheme="minorHAnsi" w:cstheme="minorHAnsi"/>
        </w:rPr>
      </w:pPr>
      <w:r w:rsidRPr="007B11BC">
        <w:rPr>
          <w:rFonts w:asciiTheme="minorHAnsi" w:hAnsiTheme="minorHAnsi" w:cstheme="minorHAnsi"/>
        </w:rPr>
        <w:t>Guidance on sourcing appropriate price indices would be helpful.</w:t>
      </w:r>
    </w:p>
    <w:p w:rsidR="000A1AEF" w:rsidRPr="007B11BC" w:rsidRDefault="000A1AEF" w:rsidP="000A1AEF">
      <w:pPr>
        <w:pStyle w:val="NormalWeb"/>
        <w:ind w:left="851"/>
        <w:jc w:val="both"/>
        <w:rPr>
          <w:rFonts w:asciiTheme="minorHAnsi" w:hAnsiTheme="minorHAnsi" w:cstheme="minorHAnsi"/>
        </w:rPr>
      </w:pPr>
    </w:p>
    <w:p w:rsidR="009C2340" w:rsidRPr="007B11BC" w:rsidRDefault="00E14BD7" w:rsidP="00E14BD7">
      <w:pPr>
        <w:pStyle w:val="Heading2"/>
        <w:numPr>
          <w:ilvl w:val="1"/>
          <w:numId w:val="7"/>
        </w:numPr>
        <w:ind w:left="284"/>
        <w:jc w:val="both"/>
        <w:rPr>
          <w:rFonts w:asciiTheme="minorHAnsi" w:hAnsiTheme="minorHAnsi" w:cstheme="minorHAnsi"/>
          <w:sz w:val="24"/>
          <w:szCs w:val="24"/>
        </w:rPr>
      </w:pPr>
      <w:r w:rsidRPr="007B11BC">
        <w:rPr>
          <w:rFonts w:asciiTheme="minorHAnsi" w:hAnsiTheme="minorHAnsi" w:cstheme="minorHAnsi"/>
          <w:sz w:val="24"/>
          <w:szCs w:val="24"/>
        </w:rPr>
        <w:lastRenderedPageBreak/>
        <w:t>O</w:t>
      </w:r>
      <w:r w:rsidR="009C2340" w:rsidRPr="007B11BC">
        <w:rPr>
          <w:rFonts w:asciiTheme="minorHAnsi" w:hAnsiTheme="minorHAnsi" w:cstheme="minorHAnsi"/>
          <w:sz w:val="24"/>
          <w:szCs w:val="24"/>
        </w:rPr>
        <w:t>bservations on Disclosure and Transparency</w:t>
      </w:r>
      <w:r w:rsidR="000A1AEF" w:rsidRPr="007B11BC">
        <w:rPr>
          <w:rFonts w:asciiTheme="minorHAnsi" w:hAnsiTheme="minorHAnsi" w:cstheme="minorHAnsi"/>
          <w:sz w:val="24"/>
          <w:szCs w:val="24"/>
        </w:rPr>
        <w:t xml:space="preserve"> (Para 53-A</w:t>
      </w:r>
      <w:proofErr w:type="gramStart"/>
      <w:r w:rsidR="000A1AEF" w:rsidRPr="007B11BC">
        <w:rPr>
          <w:rFonts w:asciiTheme="minorHAnsi" w:hAnsiTheme="minorHAnsi" w:cstheme="minorHAnsi"/>
          <w:sz w:val="24"/>
          <w:szCs w:val="24"/>
        </w:rPr>
        <w:t>,53B</w:t>
      </w:r>
      <w:proofErr w:type="gramEnd"/>
      <w:r w:rsidR="000A1AEF" w:rsidRPr="007B11BC">
        <w:rPr>
          <w:rFonts w:asciiTheme="minorHAnsi" w:hAnsiTheme="minorHAnsi" w:cstheme="minorHAnsi"/>
          <w:sz w:val="24"/>
          <w:szCs w:val="24"/>
        </w:rPr>
        <w:t>, 54A)</w:t>
      </w:r>
    </w:p>
    <w:p w:rsidR="000A1AEF" w:rsidRPr="007B11BC" w:rsidRDefault="000A1AEF" w:rsidP="000A1AEF">
      <w:pPr>
        <w:pStyle w:val="NormalWeb"/>
        <w:numPr>
          <w:ilvl w:val="0"/>
          <w:numId w:val="9"/>
        </w:numPr>
        <w:tabs>
          <w:tab w:val="clear" w:pos="720"/>
        </w:tabs>
        <w:ind w:left="426" w:hanging="284"/>
        <w:rPr>
          <w:rFonts w:asciiTheme="minorHAnsi" w:hAnsiTheme="minorHAnsi" w:cstheme="minorHAnsi"/>
        </w:rPr>
      </w:pPr>
      <w:r w:rsidRPr="007B11BC">
        <w:rPr>
          <w:rFonts w:asciiTheme="minorHAnsi" w:hAnsiTheme="minorHAnsi" w:cstheme="minorHAnsi"/>
        </w:rPr>
        <w:t>Disclosure of summarized financial information for foreign operations is critical for enabling users to assess the impact of these operations on the entity’s overall financial position.</w:t>
      </w:r>
    </w:p>
    <w:p w:rsidR="000A1AEF" w:rsidRPr="007B11BC" w:rsidRDefault="000A1AEF" w:rsidP="000A1AEF">
      <w:pPr>
        <w:pStyle w:val="NormalWeb"/>
        <w:numPr>
          <w:ilvl w:val="0"/>
          <w:numId w:val="9"/>
        </w:numPr>
        <w:tabs>
          <w:tab w:val="clear" w:pos="720"/>
        </w:tabs>
        <w:ind w:left="426" w:hanging="284"/>
        <w:rPr>
          <w:rFonts w:asciiTheme="minorHAnsi" w:hAnsiTheme="minorHAnsi" w:cstheme="minorHAnsi"/>
        </w:rPr>
      </w:pPr>
      <w:r w:rsidRPr="007B11BC">
        <w:rPr>
          <w:rFonts w:asciiTheme="minorHAnsi" w:hAnsiTheme="minorHAnsi" w:cstheme="minorHAnsi"/>
        </w:rPr>
        <w:t xml:space="preserve">We endorse mandatory </w:t>
      </w:r>
      <w:proofErr w:type="spellStart"/>
      <w:r w:rsidRPr="007B11BC">
        <w:rPr>
          <w:rFonts w:asciiTheme="minorHAnsi" w:hAnsiTheme="minorHAnsi" w:cstheme="minorHAnsi"/>
        </w:rPr>
        <w:t>labeling</w:t>
      </w:r>
      <w:proofErr w:type="spellEnd"/>
      <w:r w:rsidRPr="007B11BC">
        <w:rPr>
          <w:rFonts w:asciiTheme="minorHAnsi" w:hAnsiTheme="minorHAnsi" w:cstheme="minorHAnsi"/>
        </w:rPr>
        <w:t xml:space="preserve"> of comparative information restated via a general price index, as this prevents confusion regarding the source of adjustments.</w:t>
      </w:r>
    </w:p>
    <w:p w:rsidR="000A1AEF" w:rsidRPr="007B11BC" w:rsidRDefault="000A1AEF" w:rsidP="000A1AEF">
      <w:pPr>
        <w:pStyle w:val="NormalWeb"/>
        <w:numPr>
          <w:ilvl w:val="0"/>
          <w:numId w:val="9"/>
        </w:numPr>
        <w:tabs>
          <w:tab w:val="clear" w:pos="720"/>
        </w:tabs>
        <w:ind w:left="426" w:hanging="284"/>
        <w:rPr>
          <w:rFonts w:asciiTheme="minorHAnsi" w:hAnsiTheme="minorHAnsi" w:cstheme="minorHAnsi"/>
        </w:rPr>
      </w:pPr>
      <w:r w:rsidRPr="007B11BC">
        <w:rPr>
          <w:rFonts w:asciiTheme="minorHAnsi" w:hAnsiTheme="minorHAnsi" w:cstheme="minorHAnsi"/>
        </w:rPr>
        <w:t>Suggest requiring a qualitative “effects analysis” disclosure to explain the drivers of inflation and exchange rate volatility.</w:t>
      </w:r>
    </w:p>
    <w:p w:rsidR="000A1AEF" w:rsidRPr="007B11BC" w:rsidRDefault="000A1AEF" w:rsidP="000A1AEF">
      <w:pPr>
        <w:pStyle w:val="NormalWeb"/>
        <w:numPr>
          <w:ilvl w:val="0"/>
          <w:numId w:val="9"/>
        </w:numPr>
        <w:tabs>
          <w:tab w:val="clear" w:pos="720"/>
        </w:tabs>
        <w:ind w:left="426" w:hanging="284"/>
        <w:rPr>
          <w:rFonts w:asciiTheme="minorHAnsi" w:hAnsiTheme="minorHAnsi" w:cstheme="minorHAnsi"/>
        </w:rPr>
      </w:pPr>
      <w:r w:rsidRPr="007B11BC">
        <w:rPr>
          <w:rFonts w:asciiTheme="minorHAnsi" w:hAnsiTheme="minorHAnsi" w:cstheme="minorHAnsi"/>
        </w:rPr>
        <w:t>Define minimum content for summarized financial information about foreign operations to ensure consistency.</w:t>
      </w:r>
    </w:p>
    <w:p w:rsidR="000A1AEF" w:rsidRPr="007B11BC" w:rsidRDefault="000A1AEF" w:rsidP="000A1AEF">
      <w:pPr>
        <w:pStyle w:val="NormalWeb"/>
        <w:numPr>
          <w:ilvl w:val="0"/>
          <w:numId w:val="9"/>
        </w:numPr>
        <w:tabs>
          <w:tab w:val="clear" w:pos="720"/>
        </w:tabs>
        <w:ind w:left="426" w:hanging="284"/>
        <w:rPr>
          <w:rFonts w:asciiTheme="minorHAnsi" w:hAnsiTheme="minorHAnsi" w:cstheme="minorHAnsi"/>
        </w:rPr>
      </w:pPr>
      <w:r w:rsidRPr="007B11BC">
        <w:rPr>
          <w:rFonts w:asciiTheme="minorHAnsi" w:hAnsiTheme="minorHAnsi" w:cstheme="minorHAnsi"/>
        </w:rPr>
        <w:t xml:space="preserve">The proposed consequential amendments to </w:t>
      </w:r>
      <w:proofErr w:type="spellStart"/>
      <w:r w:rsidRPr="007B11BC">
        <w:rPr>
          <w:rFonts w:asciiTheme="minorHAnsi" w:hAnsiTheme="minorHAnsi" w:cstheme="minorHAnsi"/>
        </w:rPr>
        <w:t>Ind</w:t>
      </w:r>
      <w:proofErr w:type="spellEnd"/>
      <w:r w:rsidRPr="007B11BC">
        <w:rPr>
          <w:rFonts w:asciiTheme="minorHAnsi" w:hAnsiTheme="minorHAnsi" w:cstheme="minorHAnsi"/>
        </w:rPr>
        <w:t xml:space="preserve"> AS 119 (Paragraphs 219A–220A) ensure transparency even for subsidiaries without public accountability.</w:t>
      </w:r>
    </w:p>
    <w:p w:rsidR="000A1AEF" w:rsidRPr="007B11BC" w:rsidRDefault="000A1AEF" w:rsidP="000A1AEF">
      <w:pPr>
        <w:pStyle w:val="NormalWeb"/>
        <w:numPr>
          <w:ilvl w:val="0"/>
          <w:numId w:val="9"/>
        </w:numPr>
        <w:tabs>
          <w:tab w:val="clear" w:pos="720"/>
        </w:tabs>
        <w:ind w:left="426" w:hanging="284"/>
        <w:rPr>
          <w:rFonts w:asciiTheme="minorHAnsi" w:hAnsiTheme="minorHAnsi" w:cstheme="minorHAnsi"/>
        </w:rPr>
      </w:pPr>
      <w:r w:rsidRPr="007B11BC">
        <w:rPr>
          <w:rFonts w:asciiTheme="minorHAnsi" w:hAnsiTheme="minorHAnsi" w:cstheme="minorHAnsi"/>
        </w:rPr>
        <w:t xml:space="preserve">Ensure disclosure requirements are harmonized across </w:t>
      </w:r>
      <w:proofErr w:type="spellStart"/>
      <w:r w:rsidRPr="007B11BC">
        <w:rPr>
          <w:rFonts w:asciiTheme="minorHAnsi" w:hAnsiTheme="minorHAnsi" w:cstheme="minorHAnsi"/>
        </w:rPr>
        <w:t>Ind</w:t>
      </w:r>
      <w:proofErr w:type="spellEnd"/>
      <w:r w:rsidRPr="007B11BC">
        <w:rPr>
          <w:rFonts w:asciiTheme="minorHAnsi" w:hAnsiTheme="minorHAnsi" w:cstheme="minorHAnsi"/>
        </w:rPr>
        <w:t xml:space="preserve"> AS 21, </w:t>
      </w:r>
      <w:proofErr w:type="spellStart"/>
      <w:r w:rsidRPr="007B11BC">
        <w:rPr>
          <w:rFonts w:asciiTheme="minorHAnsi" w:hAnsiTheme="minorHAnsi" w:cstheme="minorHAnsi"/>
        </w:rPr>
        <w:t>Ind</w:t>
      </w:r>
      <w:proofErr w:type="spellEnd"/>
      <w:r w:rsidRPr="007B11BC">
        <w:rPr>
          <w:rFonts w:asciiTheme="minorHAnsi" w:hAnsiTheme="minorHAnsi" w:cstheme="minorHAnsi"/>
        </w:rPr>
        <w:t xml:space="preserve"> AS 119, and </w:t>
      </w:r>
      <w:proofErr w:type="spellStart"/>
      <w:r w:rsidRPr="007B11BC">
        <w:rPr>
          <w:rFonts w:asciiTheme="minorHAnsi" w:hAnsiTheme="minorHAnsi" w:cstheme="minorHAnsi"/>
        </w:rPr>
        <w:t>Ind</w:t>
      </w:r>
      <w:proofErr w:type="spellEnd"/>
      <w:r w:rsidRPr="007B11BC">
        <w:rPr>
          <w:rFonts w:asciiTheme="minorHAnsi" w:hAnsiTheme="minorHAnsi" w:cstheme="minorHAnsi"/>
        </w:rPr>
        <w:t xml:space="preserve"> AS 29, and correct typographical errors and cross-references for clarity.</w:t>
      </w:r>
    </w:p>
    <w:p w:rsidR="009C2340" w:rsidRPr="007B11BC" w:rsidRDefault="009C2340" w:rsidP="00FE05F7">
      <w:pPr>
        <w:pStyle w:val="Heading2"/>
        <w:numPr>
          <w:ilvl w:val="1"/>
          <w:numId w:val="7"/>
        </w:numPr>
        <w:ind w:left="284"/>
        <w:jc w:val="both"/>
        <w:rPr>
          <w:rFonts w:asciiTheme="minorHAnsi" w:hAnsiTheme="minorHAnsi" w:cstheme="minorHAnsi"/>
          <w:sz w:val="24"/>
          <w:szCs w:val="24"/>
        </w:rPr>
      </w:pPr>
      <w:r w:rsidRPr="007B11BC">
        <w:rPr>
          <w:rFonts w:asciiTheme="minorHAnsi" w:hAnsiTheme="minorHAnsi" w:cstheme="minorHAnsi"/>
          <w:sz w:val="24"/>
          <w:szCs w:val="24"/>
        </w:rPr>
        <w:t>Effe</w:t>
      </w:r>
      <w:r w:rsidR="00D55CE9" w:rsidRPr="007B11BC">
        <w:rPr>
          <w:rFonts w:asciiTheme="minorHAnsi" w:hAnsiTheme="minorHAnsi" w:cstheme="minorHAnsi"/>
          <w:sz w:val="24"/>
          <w:szCs w:val="24"/>
        </w:rPr>
        <w:t>ctive Date and Transition Provisions</w:t>
      </w:r>
      <w:r w:rsidR="004619A9" w:rsidRPr="007B11BC">
        <w:rPr>
          <w:rFonts w:asciiTheme="minorHAnsi" w:hAnsiTheme="minorHAnsi" w:cstheme="minorHAnsi"/>
          <w:sz w:val="24"/>
          <w:szCs w:val="24"/>
        </w:rPr>
        <w:t xml:space="preserve"> (Para 60O-60P)</w:t>
      </w:r>
    </w:p>
    <w:p w:rsidR="007A073B" w:rsidRPr="007B11BC" w:rsidRDefault="007A073B" w:rsidP="007A073B">
      <w:pPr>
        <w:pStyle w:val="NormalWeb"/>
        <w:numPr>
          <w:ilvl w:val="0"/>
          <w:numId w:val="10"/>
        </w:numPr>
        <w:tabs>
          <w:tab w:val="clear" w:pos="720"/>
        </w:tabs>
        <w:ind w:left="426" w:hanging="284"/>
        <w:rPr>
          <w:rFonts w:asciiTheme="minorHAnsi" w:hAnsiTheme="minorHAnsi" w:cstheme="minorHAnsi"/>
        </w:rPr>
      </w:pPr>
      <w:r w:rsidRPr="007B11BC">
        <w:rPr>
          <w:rFonts w:asciiTheme="minorHAnsi" w:hAnsiTheme="minorHAnsi" w:cstheme="minorHAnsi"/>
        </w:rPr>
        <w:t>The proposed effective date of April 1, 2027, is appropriate, providing entities sufficient time to adjust their accounting systems. Early adoption should be explicitly permitted.</w:t>
      </w:r>
    </w:p>
    <w:p w:rsidR="007A073B" w:rsidRPr="007B11BC" w:rsidRDefault="007A073B" w:rsidP="007A073B">
      <w:pPr>
        <w:pStyle w:val="NormalWeb"/>
        <w:numPr>
          <w:ilvl w:val="0"/>
          <w:numId w:val="10"/>
        </w:numPr>
        <w:tabs>
          <w:tab w:val="clear" w:pos="720"/>
        </w:tabs>
        <w:ind w:left="426" w:hanging="284"/>
        <w:rPr>
          <w:rFonts w:asciiTheme="minorHAnsi" w:hAnsiTheme="minorHAnsi" w:cstheme="minorHAnsi"/>
        </w:rPr>
      </w:pPr>
      <w:r w:rsidRPr="007B11BC">
        <w:rPr>
          <w:rFonts w:asciiTheme="minorHAnsi" w:hAnsiTheme="minorHAnsi" w:cstheme="minorHAnsi"/>
        </w:rPr>
        <w:t>We support the transition relief allowing specific restatement rules for foreign operations from the beginning of the annual reporting period of first application, rather than requiring full retrospective restatement.</w:t>
      </w:r>
    </w:p>
    <w:p w:rsidR="007A073B" w:rsidRPr="007B11BC" w:rsidRDefault="007A073B" w:rsidP="007A073B">
      <w:pPr>
        <w:pStyle w:val="NormalWeb"/>
        <w:numPr>
          <w:ilvl w:val="0"/>
          <w:numId w:val="10"/>
        </w:numPr>
        <w:tabs>
          <w:tab w:val="clear" w:pos="720"/>
        </w:tabs>
        <w:ind w:left="426" w:hanging="284"/>
        <w:rPr>
          <w:rFonts w:asciiTheme="minorHAnsi" w:hAnsiTheme="minorHAnsi" w:cstheme="minorHAnsi"/>
        </w:rPr>
      </w:pPr>
      <w:r w:rsidRPr="007B11BC">
        <w:rPr>
          <w:rFonts w:asciiTheme="minorHAnsi" w:hAnsiTheme="minorHAnsi" w:cstheme="minorHAnsi"/>
        </w:rPr>
        <w:t>Recommend a practicability clause allowing use of proxy indices where official indices are unavailable, with appropriate disclosure.</w:t>
      </w:r>
    </w:p>
    <w:p w:rsidR="007A073B" w:rsidRPr="007B11BC" w:rsidRDefault="007A073B" w:rsidP="007A073B">
      <w:pPr>
        <w:pStyle w:val="NormalWeb"/>
        <w:numPr>
          <w:ilvl w:val="0"/>
          <w:numId w:val="10"/>
        </w:numPr>
        <w:tabs>
          <w:tab w:val="clear" w:pos="720"/>
        </w:tabs>
        <w:ind w:left="426" w:hanging="284"/>
        <w:rPr>
          <w:rFonts w:asciiTheme="minorHAnsi" w:hAnsiTheme="minorHAnsi" w:cstheme="minorHAnsi"/>
        </w:rPr>
      </w:pPr>
      <w:r w:rsidRPr="007B11BC">
        <w:rPr>
          <w:rFonts w:asciiTheme="minorHAnsi" w:hAnsiTheme="minorHAnsi" w:cstheme="minorHAnsi"/>
        </w:rPr>
        <w:t xml:space="preserve">Support relief from certain </w:t>
      </w:r>
      <w:proofErr w:type="spellStart"/>
      <w:r w:rsidRPr="007B11BC">
        <w:rPr>
          <w:rFonts w:asciiTheme="minorHAnsi" w:hAnsiTheme="minorHAnsi" w:cstheme="minorHAnsi"/>
        </w:rPr>
        <w:t>Ind</w:t>
      </w:r>
      <w:proofErr w:type="spellEnd"/>
      <w:r w:rsidRPr="007B11BC">
        <w:rPr>
          <w:rFonts w:asciiTheme="minorHAnsi" w:hAnsiTheme="minorHAnsi" w:cstheme="minorHAnsi"/>
        </w:rPr>
        <w:t xml:space="preserve"> AS 8 disclosure requirements to reduce implementation burden.</w:t>
      </w:r>
    </w:p>
    <w:p w:rsidR="009C2340" w:rsidRPr="007B11BC" w:rsidRDefault="009C2340" w:rsidP="004B7072">
      <w:pPr>
        <w:pStyle w:val="Heading2"/>
        <w:numPr>
          <w:ilvl w:val="1"/>
          <w:numId w:val="7"/>
        </w:numPr>
        <w:ind w:left="284"/>
        <w:jc w:val="both"/>
        <w:rPr>
          <w:rFonts w:asciiTheme="minorHAnsi" w:hAnsiTheme="minorHAnsi" w:cstheme="minorHAnsi"/>
          <w:sz w:val="24"/>
          <w:szCs w:val="24"/>
        </w:rPr>
      </w:pPr>
      <w:r w:rsidRPr="007B11BC">
        <w:rPr>
          <w:rFonts w:asciiTheme="minorHAnsi" w:hAnsiTheme="minorHAnsi" w:cstheme="minorHAnsi"/>
          <w:sz w:val="24"/>
          <w:szCs w:val="24"/>
        </w:rPr>
        <w:t>Conclusion</w:t>
      </w:r>
    </w:p>
    <w:p w:rsidR="009C2340" w:rsidRPr="007B11BC" w:rsidRDefault="009C2340" w:rsidP="003E0B63">
      <w:pPr>
        <w:pStyle w:val="NormalWeb"/>
        <w:jc w:val="both"/>
        <w:rPr>
          <w:rFonts w:asciiTheme="minorHAnsi" w:hAnsiTheme="minorHAnsi" w:cstheme="minorHAnsi"/>
        </w:rPr>
      </w:pPr>
      <w:r w:rsidRPr="007B11BC">
        <w:rPr>
          <w:rFonts w:asciiTheme="minorHAnsi" w:hAnsiTheme="minorHAnsi" w:cstheme="minorHAnsi"/>
        </w:rPr>
        <w:t>We commend the ASB for issuing this Exposure Draft and broadly support the proposed amendments. The proposals strike a fair balance between technical accuracy and cost of compliance, while improving the quality and comparability of financial reporting in hyperinflationary contexts. With the clarifications and additional guidance suggested above, the amendments will provide a robust solution to the accounting challenges identified by the IFRS Interpretations Committee and enhance transparency for users of financial statements.</w:t>
      </w:r>
    </w:p>
    <w:p w:rsidR="009C2340" w:rsidRPr="009C2340" w:rsidRDefault="009C2340" w:rsidP="003E0B63">
      <w:pPr>
        <w:spacing w:before="100" w:beforeAutospacing="1" w:after="100" w:afterAutospacing="1" w:line="240" w:lineRule="auto"/>
        <w:jc w:val="both"/>
        <w:rPr>
          <w:rFonts w:eastAsia="Times New Roman" w:cstheme="minorHAnsi"/>
          <w:sz w:val="24"/>
          <w:szCs w:val="24"/>
          <w:lang w:eastAsia="en-IN"/>
        </w:rPr>
      </w:pPr>
    </w:p>
    <w:p w:rsidR="009C2340" w:rsidRPr="007B11BC" w:rsidRDefault="009C2340" w:rsidP="007866FF">
      <w:pPr>
        <w:pStyle w:val="NormalWeb"/>
        <w:ind w:left="720"/>
        <w:jc w:val="both"/>
        <w:rPr>
          <w:rFonts w:asciiTheme="minorHAnsi" w:hAnsiTheme="minorHAnsi" w:cstheme="minorHAnsi"/>
        </w:rPr>
      </w:pPr>
      <w:bookmarkStart w:id="0" w:name="_GoBack"/>
      <w:bookmarkEnd w:id="0"/>
    </w:p>
    <w:p w:rsidR="009C2340" w:rsidRPr="007B11BC" w:rsidRDefault="009C2340" w:rsidP="003E0B63">
      <w:pPr>
        <w:pStyle w:val="ListParagraph"/>
        <w:spacing w:after="0" w:line="240" w:lineRule="auto"/>
        <w:jc w:val="both"/>
        <w:rPr>
          <w:rFonts w:eastAsia="Times New Roman" w:cstheme="minorHAnsi"/>
          <w:sz w:val="24"/>
          <w:szCs w:val="24"/>
          <w:lang w:eastAsia="en-IN"/>
        </w:rPr>
      </w:pPr>
    </w:p>
    <w:p w:rsidR="009C2340" w:rsidRPr="009C2340" w:rsidRDefault="009C2340" w:rsidP="003E0B63">
      <w:pPr>
        <w:spacing w:after="0" w:line="240" w:lineRule="auto"/>
        <w:jc w:val="both"/>
        <w:rPr>
          <w:rFonts w:eastAsia="Times New Roman" w:cstheme="minorHAnsi"/>
          <w:sz w:val="24"/>
          <w:szCs w:val="24"/>
          <w:lang w:eastAsia="en-IN"/>
        </w:rPr>
      </w:pPr>
      <w:r w:rsidRPr="007B11BC">
        <w:rPr>
          <w:rFonts w:eastAsia="Times New Roman" w:cstheme="minorHAnsi"/>
          <w:noProof/>
          <w:sz w:val="24"/>
          <w:szCs w:val="24"/>
          <w:lang w:eastAsia="en-IN"/>
        </w:rPr>
        <mc:AlternateContent>
          <mc:Choice Requires="wps">
            <w:drawing>
              <wp:inline distT="0" distB="0" distL="0" distR="0">
                <wp:extent cx="301625" cy="301625"/>
                <wp:effectExtent l="0" t="0" r="0" b="0"/>
                <wp:docPr id="1" name="Rectangle 1" descr="data:image/gif;base64,R0lGODlhAQABAIAAAAAAAP///yH5BAEAAAAALAAAAAABAAEAAAIBRAA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3A3812" id="Rectangle 1" o:spid="_x0000_s1026" alt="data:image/gif;base64,R0lGODlhAQABAIAAAAAAAP///yH5BAEAAAAALAAAAAABAAEAAAIBRAA7"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" filled="f" stroked="f">
                <o:lock v:ext="edit" aspectratio="t"/>
                <w10:anchorlock/>
              </v:rect>
            </w:pict>
          </mc:Fallback>
        </mc:AlternateContent>
      </w:r>
    </w:p>
    <w:p w:rsidR="00622BCE" w:rsidRPr="007B11BC" w:rsidRDefault="00622BCE" w:rsidP="003E0B63">
      <w:pPr>
        <w:jc w:val="both"/>
        <w:rPr>
          <w:rFonts w:cstheme="minorHAnsi"/>
          <w:sz w:val="24"/>
          <w:szCs w:val="24"/>
        </w:rPr>
      </w:pPr>
    </w:p>
    <w:sectPr w:rsidR="00622BCE" w:rsidRPr="007B11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62F55"/>
    <w:multiLevelType w:val="multilevel"/>
    <w:tmpl w:val="379837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074F3D"/>
    <w:multiLevelType w:val="multilevel"/>
    <w:tmpl w:val="21A40B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864A4E"/>
    <w:multiLevelType w:val="multilevel"/>
    <w:tmpl w:val="C866A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A568EF"/>
    <w:multiLevelType w:val="multilevel"/>
    <w:tmpl w:val="AECE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DBF2F7A"/>
    <w:multiLevelType w:val="multilevel"/>
    <w:tmpl w:val="0EA2C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705CCF"/>
    <w:multiLevelType w:val="hybridMultilevel"/>
    <w:tmpl w:val="69C292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45982A54"/>
    <w:multiLevelType w:val="multilevel"/>
    <w:tmpl w:val="AECE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40E5806"/>
    <w:multiLevelType w:val="multilevel"/>
    <w:tmpl w:val="3098A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DE53747"/>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7D2B3B53"/>
    <w:multiLevelType w:val="multilevel"/>
    <w:tmpl w:val="AECE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7"/>
  </w:num>
  <w:num w:numId="4">
    <w:abstractNumId w:val="2"/>
  </w:num>
  <w:num w:numId="5">
    <w:abstractNumId w:val="1"/>
  </w:num>
  <w:num w:numId="6">
    <w:abstractNumId w:val="5"/>
  </w:num>
  <w:num w:numId="7">
    <w:abstractNumId w:val="8"/>
  </w:num>
  <w:num w:numId="8">
    <w:abstractNumId w:val="4"/>
  </w:num>
  <w:num w:numId="9">
    <w:abstractNumId w:val="9"/>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66D"/>
    <w:rsid w:val="000A1AEF"/>
    <w:rsid w:val="003E0B63"/>
    <w:rsid w:val="004261B3"/>
    <w:rsid w:val="004619A9"/>
    <w:rsid w:val="004B7072"/>
    <w:rsid w:val="00622BCE"/>
    <w:rsid w:val="00716B78"/>
    <w:rsid w:val="007866FF"/>
    <w:rsid w:val="007A073B"/>
    <w:rsid w:val="007B11BC"/>
    <w:rsid w:val="009C2340"/>
    <w:rsid w:val="00BB066D"/>
    <w:rsid w:val="00C64D67"/>
    <w:rsid w:val="00D55CE9"/>
    <w:rsid w:val="00E14BD7"/>
    <w:rsid w:val="00FE05F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5D3A04-228E-4304-865A-82BFF12A4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9C2340"/>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234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9C2340"/>
    <w:rPr>
      <w:i/>
      <w:iCs/>
    </w:rPr>
  </w:style>
  <w:style w:type="character" w:customStyle="1" w:styleId="Heading2Char">
    <w:name w:val="Heading 2 Char"/>
    <w:basedOn w:val="DefaultParagraphFont"/>
    <w:link w:val="Heading2"/>
    <w:uiPriority w:val="9"/>
    <w:rsid w:val="009C2340"/>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9C2340"/>
    <w:rPr>
      <w:b/>
      <w:bCs/>
    </w:rPr>
  </w:style>
  <w:style w:type="paragraph" w:styleId="ListParagraph">
    <w:name w:val="List Paragraph"/>
    <w:basedOn w:val="Normal"/>
    <w:uiPriority w:val="34"/>
    <w:qFormat/>
    <w:rsid w:val="009C23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273026">
      <w:bodyDiv w:val="1"/>
      <w:marLeft w:val="0"/>
      <w:marRight w:val="0"/>
      <w:marTop w:val="0"/>
      <w:marBottom w:val="0"/>
      <w:divBdr>
        <w:top w:val="none" w:sz="0" w:space="0" w:color="auto"/>
        <w:left w:val="none" w:sz="0" w:space="0" w:color="auto"/>
        <w:bottom w:val="none" w:sz="0" w:space="0" w:color="auto"/>
        <w:right w:val="none" w:sz="0" w:space="0" w:color="auto"/>
      </w:divBdr>
    </w:div>
    <w:div w:id="247615835">
      <w:bodyDiv w:val="1"/>
      <w:marLeft w:val="0"/>
      <w:marRight w:val="0"/>
      <w:marTop w:val="0"/>
      <w:marBottom w:val="0"/>
      <w:divBdr>
        <w:top w:val="none" w:sz="0" w:space="0" w:color="auto"/>
        <w:left w:val="none" w:sz="0" w:space="0" w:color="auto"/>
        <w:bottom w:val="none" w:sz="0" w:space="0" w:color="auto"/>
        <w:right w:val="none" w:sz="0" w:space="0" w:color="auto"/>
      </w:divBdr>
    </w:div>
    <w:div w:id="283580380">
      <w:bodyDiv w:val="1"/>
      <w:marLeft w:val="0"/>
      <w:marRight w:val="0"/>
      <w:marTop w:val="0"/>
      <w:marBottom w:val="0"/>
      <w:divBdr>
        <w:top w:val="none" w:sz="0" w:space="0" w:color="auto"/>
        <w:left w:val="none" w:sz="0" w:space="0" w:color="auto"/>
        <w:bottom w:val="none" w:sz="0" w:space="0" w:color="auto"/>
        <w:right w:val="none" w:sz="0" w:space="0" w:color="auto"/>
      </w:divBdr>
      <w:divsChild>
        <w:div w:id="553322026">
          <w:marLeft w:val="0"/>
          <w:marRight w:val="0"/>
          <w:marTop w:val="0"/>
          <w:marBottom w:val="0"/>
          <w:divBdr>
            <w:top w:val="none" w:sz="0" w:space="0" w:color="auto"/>
            <w:left w:val="none" w:sz="0" w:space="0" w:color="auto"/>
            <w:bottom w:val="none" w:sz="0" w:space="0" w:color="auto"/>
            <w:right w:val="none" w:sz="0" w:space="0" w:color="auto"/>
          </w:divBdr>
          <w:divsChild>
            <w:div w:id="634065218">
              <w:marLeft w:val="0"/>
              <w:marRight w:val="0"/>
              <w:marTop w:val="0"/>
              <w:marBottom w:val="0"/>
              <w:divBdr>
                <w:top w:val="none" w:sz="0" w:space="0" w:color="auto"/>
                <w:left w:val="none" w:sz="0" w:space="0" w:color="auto"/>
                <w:bottom w:val="none" w:sz="0" w:space="0" w:color="auto"/>
                <w:right w:val="none" w:sz="0" w:space="0" w:color="auto"/>
              </w:divBdr>
              <w:divsChild>
                <w:div w:id="166173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151565">
      <w:bodyDiv w:val="1"/>
      <w:marLeft w:val="0"/>
      <w:marRight w:val="0"/>
      <w:marTop w:val="0"/>
      <w:marBottom w:val="0"/>
      <w:divBdr>
        <w:top w:val="none" w:sz="0" w:space="0" w:color="auto"/>
        <w:left w:val="none" w:sz="0" w:space="0" w:color="auto"/>
        <w:bottom w:val="none" w:sz="0" w:space="0" w:color="auto"/>
        <w:right w:val="none" w:sz="0" w:space="0" w:color="auto"/>
      </w:divBdr>
    </w:div>
    <w:div w:id="485631061">
      <w:bodyDiv w:val="1"/>
      <w:marLeft w:val="0"/>
      <w:marRight w:val="0"/>
      <w:marTop w:val="0"/>
      <w:marBottom w:val="0"/>
      <w:divBdr>
        <w:top w:val="none" w:sz="0" w:space="0" w:color="auto"/>
        <w:left w:val="none" w:sz="0" w:space="0" w:color="auto"/>
        <w:bottom w:val="none" w:sz="0" w:space="0" w:color="auto"/>
        <w:right w:val="none" w:sz="0" w:space="0" w:color="auto"/>
      </w:divBdr>
    </w:div>
    <w:div w:id="815026343">
      <w:bodyDiv w:val="1"/>
      <w:marLeft w:val="0"/>
      <w:marRight w:val="0"/>
      <w:marTop w:val="0"/>
      <w:marBottom w:val="0"/>
      <w:divBdr>
        <w:top w:val="none" w:sz="0" w:space="0" w:color="auto"/>
        <w:left w:val="none" w:sz="0" w:space="0" w:color="auto"/>
        <w:bottom w:val="none" w:sz="0" w:space="0" w:color="auto"/>
        <w:right w:val="none" w:sz="0" w:space="0" w:color="auto"/>
      </w:divBdr>
    </w:div>
    <w:div w:id="880097018">
      <w:bodyDiv w:val="1"/>
      <w:marLeft w:val="0"/>
      <w:marRight w:val="0"/>
      <w:marTop w:val="0"/>
      <w:marBottom w:val="0"/>
      <w:divBdr>
        <w:top w:val="none" w:sz="0" w:space="0" w:color="auto"/>
        <w:left w:val="none" w:sz="0" w:space="0" w:color="auto"/>
        <w:bottom w:val="none" w:sz="0" w:space="0" w:color="auto"/>
        <w:right w:val="none" w:sz="0" w:space="0" w:color="auto"/>
      </w:divBdr>
    </w:div>
    <w:div w:id="1372923752">
      <w:bodyDiv w:val="1"/>
      <w:marLeft w:val="0"/>
      <w:marRight w:val="0"/>
      <w:marTop w:val="0"/>
      <w:marBottom w:val="0"/>
      <w:divBdr>
        <w:top w:val="none" w:sz="0" w:space="0" w:color="auto"/>
        <w:left w:val="none" w:sz="0" w:space="0" w:color="auto"/>
        <w:bottom w:val="none" w:sz="0" w:space="0" w:color="auto"/>
        <w:right w:val="none" w:sz="0" w:space="0" w:color="auto"/>
      </w:divBdr>
      <w:divsChild>
        <w:div w:id="448861284">
          <w:marLeft w:val="0"/>
          <w:marRight w:val="0"/>
          <w:marTop w:val="0"/>
          <w:marBottom w:val="0"/>
          <w:divBdr>
            <w:top w:val="none" w:sz="0" w:space="0" w:color="auto"/>
            <w:left w:val="none" w:sz="0" w:space="0" w:color="auto"/>
            <w:bottom w:val="none" w:sz="0" w:space="0" w:color="auto"/>
            <w:right w:val="none" w:sz="0" w:space="0" w:color="auto"/>
          </w:divBdr>
          <w:divsChild>
            <w:div w:id="1325628759">
              <w:marLeft w:val="0"/>
              <w:marRight w:val="0"/>
              <w:marTop w:val="0"/>
              <w:marBottom w:val="0"/>
              <w:divBdr>
                <w:top w:val="none" w:sz="0" w:space="0" w:color="auto"/>
                <w:left w:val="none" w:sz="0" w:space="0" w:color="auto"/>
                <w:bottom w:val="none" w:sz="0" w:space="0" w:color="auto"/>
                <w:right w:val="none" w:sz="0" w:space="0" w:color="auto"/>
              </w:divBdr>
              <w:divsChild>
                <w:div w:id="919489900">
                  <w:marLeft w:val="0"/>
                  <w:marRight w:val="0"/>
                  <w:marTop w:val="0"/>
                  <w:marBottom w:val="0"/>
                  <w:divBdr>
                    <w:top w:val="none" w:sz="0" w:space="0" w:color="auto"/>
                    <w:left w:val="none" w:sz="0" w:space="0" w:color="auto"/>
                    <w:bottom w:val="none" w:sz="0" w:space="0" w:color="auto"/>
                    <w:right w:val="none" w:sz="0" w:space="0" w:color="auto"/>
                  </w:divBdr>
                  <w:divsChild>
                    <w:div w:id="696195415">
                      <w:marLeft w:val="0"/>
                      <w:marRight w:val="0"/>
                      <w:marTop w:val="0"/>
                      <w:marBottom w:val="0"/>
                      <w:divBdr>
                        <w:top w:val="none" w:sz="0" w:space="0" w:color="auto"/>
                        <w:left w:val="none" w:sz="0" w:space="0" w:color="auto"/>
                        <w:bottom w:val="none" w:sz="0" w:space="0" w:color="auto"/>
                        <w:right w:val="none" w:sz="0" w:space="0" w:color="auto"/>
                      </w:divBdr>
                      <w:divsChild>
                        <w:div w:id="157383316">
                          <w:marLeft w:val="0"/>
                          <w:marRight w:val="0"/>
                          <w:marTop w:val="0"/>
                          <w:marBottom w:val="0"/>
                          <w:divBdr>
                            <w:top w:val="none" w:sz="0" w:space="0" w:color="auto"/>
                            <w:left w:val="none" w:sz="0" w:space="0" w:color="auto"/>
                            <w:bottom w:val="none" w:sz="0" w:space="0" w:color="auto"/>
                            <w:right w:val="none" w:sz="0" w:space="0" w:color="auto"/>
                          </w:divBdr>
                          <w:divsChild>
                            <w:div w:id="1217544417">
                              <w:marLeft w:val="0"/>
                              <w:marRight w:val="0"/>
                              <w:marTop w:val="0"/>
                              <w:marBottom w:val="0"/>
                              <w:divBdr>
                                <w:top w:val="none" w:sz="0" w:space="0" w:color="auto"/>
                                <w:left w:val="none" w:sz="0" w:space="0" w:color="auto"/>
                                <w:bottom w:val="none" w:sz="0" w:space="0" w:color="auto"/>
                                <w:right w:val="none" w:sz="0" w:space="0" w:color="auto"/>
                              </w:divBdr>
                              <w:divsChild>
                                <w:div w:id="1595701422">
                                  <w:marLeft w:val="0"/>
                                  <w:marRight w:val="0"/>
                                  <w:marTop w:val="0"/>
                                  <w:marBottom w:val="0"/>
                                  <w:divBdr>
                                    <w:top w:val="none" w:sz="0" w:space="0" w:color="auto"/>
                                    <w:left w:val="none" w:sz="0" w:space="0" w:color="auto"/>
                                    <w:bottom w:val="none" w:sz="0" w:space="0" w:color="auto"/>
                                    <w:right w:val="none" w:sz="0" w:space="0" w:color="auto"/>
                                  </w:divBdr>
                                  <w:divsChild>
                                    <w:div w:id="656693440">
                                      <w:marLeft w:val="0"/>
                                      <w:marRight w:val="0"/>
                                      <w:marTop w:val="0"/>
                                      <w:marBottom w:val="0"/>
                                      <w:divBdr>
                                        <w:top w:val="none" w:sz="0" w:space="0" w:color="auto"/>
                                        <w:left w:val="none" w:sz="0" w:space="0" w:color="auto"/>
                                        <w:bottom w:val="none" w:sz="0" w:space="0" w:color="auto"/>
                                        <w:right w:val="none" w:sz="0" w:space="0" w:color="auto"/>
                                      </w:divBdr>
                                      <w:divsChild>
                                        <w:div w:id="1981811453">
                                          <w:marLeft w:val="0"/>
                                          <w:marRight w:val="0"/>
                                          <w:marTop w:val="0"/>
                                          <w:marBottom w:val="0"/>
                                          <w:divBdr>
                                            <w:top w:val="none" w:sz="0" w:space="0" w:color="auto"/>
                                            <w:left w:val="none" w:sz="0" w:space="0" w:color="auto"/>
                                            <w:bottom w:val="none" w:sz="0" w:space="0" w:color="auto"/>
                                            <w:right w:val="none" w:sz="0" w:space="0" w:color="auto"/>
                                          </w:divBdr>
                                          <w:divsChild>
                                            <w:div w:id="474641326">
                                              <w:marLeft w:val="0"/>
                                              <w:marRight w:val="0"/>
                                              <w:marTop w:val="0"/>
                                              <w:marBottom w:val="0"/>
                                              <w:divBdr>
                                                <w:top w:val="none" w:sz="0" w:space="0" w:color="auto"/>
                                                <w:left w:val="none" w:sz="0" w:space="0" w:color="auto"/>
                                                <w:bottom w:val="none" w:sz="0" w:space="0" w:color="auto"/>
                                                <w:right w:val="none" w:sz="0" w:space="0" w:color="auto"/>
                                              </w:divBdr>
                                              <w:divsChild>
                                                <w:div w:id="1937518005">
                                                  <w:marLeft w:val="0"/>
                                                  <w:marRight w:val="0"/>
                                                  <w:marTop w:val="0"/>
                                                  <w:marBottom w:val="0"/>
                                                  <w:divBdr>
                                                    <w:top w:val="none" w:sz="0" w:space="0" w:color="auto"/>
                                                    <w:left w:val="none" w:sz="0" w:space="0" w:color="auto"/>
                                                    <w:bottom w:val="none" w:sz="0" w:space="0" w:color="auto"/>
                                                    <w:right w:val="none" w:sz="0" w:space="0" w:color="auto"/>
                                                  </w:divBdr>
                                                  <w:divsChild>
                                                    <w:div w:id="785850854">
                                                      <w:marLeft w:val="0"/>
                                                      <w:marRight w:val="0"/>
                                                      <w:marTop w:val="0"/>
                                                      <w:marBottom w:val="0"/>
                                                      <w:divBdr>
                                                        <w:top w:val="none" w:sz="0" w:space="0" w:color="auto"/>
                                                        <w:left w:val="none" w:sz="0" w:space="0" w:color="auto"/>
                                                        <w:bottom w:val="none" w:sz="0" w:space="0" w:color="auto"/>
                                                        <w:right w:val="none" w:sz="0" w:space="0" w:color="auto"/>
                                                      </w:divBdr>
                                                      <w:divsChild>
                                                        <w:div w:id="217714273">
                                                          <w:marLeft w:val="0"/>
                                                          <w:marRight w:val="0"/>
                                                          <w:marTop w:val="0"/>
                                                          <w:marBottom w:val="0"/>
                                                          <w:divBdr>
                                                            <w:top w:val="none" w:sz="0" w:space="0" w:color="auto"/>
                                                            <w:left w:val="none" w:sz="0" w:space="0" w:color="auto"/>
                                                            <w:bottom w:val="none" w:sz="0" w:space="0" w:color="auto"/>
                                                            <w:right w:val="none" w:sz="0" w:space="0" w:color="auto"/>
                                                          </w:divBdr>
                                                          <w:divsChild>
                                                            <w:div w:id="1437753891">
                                                              <w:marLeft w:val="0"/>
                                                              <w:marRight w:val="0"/>
                                                              <w:marTop w:val="0"/>
                                                              <w:marBottom w:val="0"/>
                                                              <w:divBdr>
                                                                <w:top w:val="none" w:sz="0" w:space="0" w:color="auto"/>
                                                                <w:left w:val="none" w:sz="0" w:space="0" w:color="auto"/>
                                                                <w:bottom w:val="none" w:sz="0" w:space="0" w:color="auto"/>
                                                                <w:right w:val="none" w:sz="0" w:space="0" w:color="auto"/>
                                                              </w:divBdr>
                                                              <w:divsChild>
                                                                <w:div w:id="557859847">
                                                                  <w:marLeft w:val="0"/>
                                                                  <w:marRight w:val="0"/>
                                                                  <w:marTop w:val="0"/>
                                                                  <w:marBottom w:val="0"/>
                                                                  <w:divBdr>
                                                                    <w:top w:val="none" w:sz="0" w:space="0" w:color="auto"/>
                                                                    <w:left w:val="none" w:sz="0" w:space="0" w:color="auto"/>
                                                                    <w:bottom w:val="none" w:sz="0" w:space="0" w:color="auto"/>
                                                                    <w:right w:val="none" w:sz="0" w:space="0" w:color="auto"/>
                                                                  </w:divBdr>
                                                                  <w:divsChild>
                                                                    <w:div w:id="131047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93413110">
      <w:bodyDiv w:val="1"/>
      <w:marLeft w:val="0"/>
      <w:marRight w:val="0"/>
      <w:marTop w:val="0"/>
      <w:marBottom w:val="0"/>
      <w:divBdr>
        <w:top w:val="none" w:sz="0" w:space="0" w:color="auto"/>
        <w:left w:val="none" w:sz="0" w:space="0" w:color="auto"/>
        <w:bottom w:val="none" w:sz="0" w:space="0" w:color="auto"/>
        <w:right w:val="none" w:sz="0" w:space="0" w:color="auto"/>
      </w:divBdr>
    </w:div>
    <w:div w:id="1766801152">
      <w:bodyDiv w:val="1"/>
      <w:marLeft w:val="0"/>
      <w:marRight w:val="0"/>
      <w:marTop w:val="0"/>
      <w:marBottom w:val="0"/>
      <w:divBdr>
        <w:top w:val="none" w:sz="0" w:space="0" w:color="auto"/>
        <w:left w:val="none" w:sz="0" w:space="0" w:color="auto"/>
        <w:bottom w:val="none" w:sz="0" w:space="0" w:color="auto"/>
        <w:right w:val="none" w:sz="0" w:space="0" w:color="auto"/>
      </w:divBdr>
    </w:div>
    <w:div w:id="1872261909">
      <w:bodyDiv w:val="1"/>
      <w:marLeft w:val="0"/>
      <w:marRight w:val="0"/>
      <w:marTop w:val="0"/>
      <w:marBottom w:val="0"/>
      <w:divBdr>
        <w:top w:val="none" w:sz="0" w:space="0" w:color="auto"/>
        <w:left w:val="none" w:sz="0" w:space="0" w:color="auto"/>
        <w:bottom w:val="none" w:sz="0" w:space="0" w:color="auto"/>
        <w:right w:val="none" w:sz="0" w:space="0" w:color="auto"/>
      </w:divBdr>
    </w:div>
    <w:div w:id="2077825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730</Words>
  <Characters>4163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2025-12-31T12:06:00Z</dcterms:created>
  <dcterms:modified xsi:type="dcterms:W3CDTF">2025-12-31T12:38:00Z</dcterms:modified>
</cp:coreProperties>
</file>